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179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Петрова И.В.,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Петрова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Игоря Владимировича,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Петров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714101752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Петров И.В.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 частично, указал, что не был уведомлен о штрафе, как только у него появилась информация, он сразу штраф оплатил;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Петрова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18810586230714101752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Петрова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Петрова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отклоняется как не исключающий вывода о совершении вменяемого административного правонарушения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не влияет на квалификацию правонарушения, объективная сторона которого воспроизведена в протоколе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в соответствии с положениями ч. 1 ст.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</w:t>
      </w:r>
      <w:r>
        <w:rPr>
          <w:rFonts w:ascii="Times New Roman" w:eastAsia="Times New Roman" w:hAnsi="Times New Roman" w:cs="Times New Roman"/>
          <w:sz w:val="27"/>
          <w:szCs w:val="27"/>
        </w:rPr>
        <w:t>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Петрова Игоря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179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0412365400665001792420125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